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28" w:rsidRDefault="008C48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4828" w:rsidRDefault="008C4828">
      <w:pPr>
        <w:pStyle w:val="ConsPlusNormal"/>
        <w:jc w:val="both"/>
        <w:outlineLvl w:val="0"/>
      </w:pPr>
    </w:p>
    <w:p w:rsidR="008C4828" w:rsidRDefault="008C4828">
      <w:pPr>
        <w:pStyle w:val="ConsPlusTitle"/>
        <w:jc w:val="center"/>
        <w:outlineLvl w:val="0"/>
      </w:pPr>
      <w:r>
        <w:t>ПРАВИТЕЛЬСТВО КИРОВСКОЙ ОБЛАСТИ</w:t>
      </w:r>
    </w:p>
    <w:p w:rsidR="008C4828" w:rsidRDefault="008C4828">
      <w:pPr>
        <w:pStyle w:val="ConsPlusTitle"/>
        <w:ind w:firstLine="540"/>
        <w:jc w:val="both"/>
      </w:pPr>
    </w:p>
    <w:p w:rsidR="008C4828" w:rsidRDefault="008C4828">
      <w:pPr>
        <w:pStyle w:val="ConsPlusTitle"/>
        <w:jc w:val="center"/>
      </w:pPr>
      <w:r>
        <w:t>ПОСТАНОВЛЕНИЕ</w:t>
      </w:r>
    </w:p>
    <w:p w:rsidR="008C4828" w:rsidRDefault="008C4828">
      <w:pPr>
        <w:pStyle w:val="ConsPlusTitle"/>
        <w:jc w:val="center"/>
      </w:pPr>
      <w:r>
        <w:t>от 20 сентября 2019 г. N 483-П</w:t>
      </w:r>
    </w:p>
    <w:p w:rsidR="008C4828" w:rsidRDefault="008C4828">
      <w:pPr>
        <w:pStyle w:val="ConsPlusTitle"/>
        <w:ind w:firstLine="540"/>
        <w:jc w:val="both"/>
      </w:pPr>
    </w:p>
    <w:p w:rsidR="008C4828" w:rsidRDefault="008C4828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8C4828" w:rsidRDefault="008C4828">
      <w:pPr>
        <w:pStyle w:val="ConsPlusTitle"/>
        <w:jc w:val="center"/>
      </w:pPr>
      <w:r>
        <w:t>УСЛОВИЙ И СРОКОВ ВНЕСЕНИЯ АРЕНДНОЙ ПЛАТЫ ЗА ПРЕДОСТАВЛЕННЫЕ</w:t>
      </w:r>
    </w:p>
    <w:p w:rsidR="008C4828" w:rsidRDefault="008C4828">
      <w:pPr>
        <w:pStyle w:val="ConsPlusTitle"/>
        <w:jc w:val="center"/>
      </w:pPr>
      <w:r>
        <w:t>В АРЕНДУ БЕЗ ТОРГОВ ЗЕМЕЛЬНЫЕ УЧАСТКИ, НАХОДЯЩИЕСЯ</w:t>
      </w:r>
    </w:p>
    <w:p w:rsidR="008C4828" w:rsidRDefault="008C4828">
      <w:pPr>
        <w:pStyle w:val="ConsPlusTitle"/>
        <w:jc w:val="center"/>
      </w:pPr>
      <w:r>
        <w:t>В ГОСУДАРСТВЕННОЙ СОБСТВЕННОСТИ КИРОВСКОЙ ОБЛАСТИ,</w:t>
      </w:r>
    </w:p>
    <w:p w:rsidR="008C4828" w:rsidRDefault="008C4828">
      <w:pPr>
        <w:pStyle w:val="ConsPlusTitle"/>
        <w:jc w:val="center"/>
      </w:pPr>
      <w:r>
        <w:t>И ЗЕМЕЛЬНЫЕ УЧАСТКИ, ГОСУДАРСТВЕННАЯ СОБСТВЕННОСТЬ</w:t>
      </w:r>
    </w:p>
    <w:p w:rsidR="008C4828" w:rsidRDefault="008C4828">
      <w:pPr>
        <w:pStyle w:val="ConsPlusTitle"/>
        <w:jc w:val="center"/>
      </w:pPr>
      <w:r>
        <w:t>НА КОТОРЫЕ НЕ РАЗГРАНИЧЕНА, НА ТЕРРИТОРИИ КИРОВСКОЙ ОБЛАСТИ</w:t>
      </w:r>
    </w:p>
    <w:p w:rsidR="008C4828" w:rsidRDefault="008C48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8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5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6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7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8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29.03.2024 </w:t>
            </w:r>
            <w:hyperlink r:id="rId9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24.09.2024 </w:t>
            </w:r>
            <w:hyperlink r:id="rId10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,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</w:tr>
    </w:tbl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Правительство Кировской области постановляет: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согласно приложению.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09.11.2015 N 69/747 "О внесении изменений в некоторые постановления Правительства области", исключив из него </w:t>
      </w:r>
      <w:hyperlink r:id="rId15">
        <w:r>
          <w:rPr>
            <w:color w:val="0000FF"/>
          </w:rPr>
          <w:t>пункт 1</w:t>
        </w:r>
      </w:hyperlink>
      <w:r>
        <w:t>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3.1. От 24.12.2013 </w:t>
      </w:r>
      <w:hyperlink r:id="rId16">
        <w:r>
          <w:rPr>
            <w:color w:val="0000FF"/>
          </w:rPr>
          <w:t>N 241/925</w:t>
        </w:r>
      </w:hyperlink>
      <w:r>
        <w:t xml:space="preserve">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области".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3.2. От 05.05.2014 </w:t>
      </w:r>
      <w:hyperlink r:id="rId17">
        <w:r>
          <w:rPr>
            <w:color w:val="0000FF"/>
          </w:rPr>
          <w:t>N 261/312</w:t>
        </w:r>
      </w:hyperlink>
      <w:r>
        <w:t xml:space="preserve"> "О внесении изменения в постановление Правительства Кировской области от 24.12.2013 N 241/925".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3.3. От 03.07.2015 </w:t>
      </w:r>
      <w:hyperlink r:id="rId18">
        <w:r>
          <w:rPr>
            <w:color w:val="0000FF"/>
          </w:rPr>
          <w:t>N 47/358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3.4. От 04.10.2018 </w:t>
      </w:r>
      <w:hyperlink r:id="rId19">
        <w:r>
          <w:rPr>
            <w:color w:val="0000FF"/>
          </w:rPr>
          <w:t>N 465-П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через десять дней после его официального опубликования.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right"/>
      </w:pPr>
      <w:r>
        <w:t>Председатель Правительства</w:t>
      </w:r>
    </w:p>
    <w:p w:rsidR="008C4828" w:rsidRDefault="008C4828">
      <w:pPr>
        <w:pStyle w:val="ConsPlusNormal"/>
        <w:jc w:val="right"/>
      </w:pPr>
      <w:r>
        <w:t>Кировской области</w:t>
      </w:r>
    </w:p>
    <w:p w:rsidR="008C4828" w:rsidRDefault="008C4828">
      <w:pPr>
        <w:pStyle w:val="ConsPlusNormal"/>
        <w:jc w:val="right"/>
      </w:pPr>
      <w:r>
        <w:t>А.А.ЧУРИН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right"/>
        <w:outlineLvl w:val="0"/>
      </w:pPr>
      <w:r>
        <w:t>Приложение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right"/>
      </w:pPr>
      <w:r>
        <w:t>Утвержден</w:t>
      </w:r>
    </w:p>
    <w:p w:rsidR="008C4828" w:rsidRDefault="008C4828">
      <w:pPr>
        <w:pStyle w:val="ConsPlusNormal"/>
        <w:jc w:val="right"/>
      </w:pPr>
      <w:r>
        <w:t>постановлением</w:t>
      </w:r>
    </w:p>
    <w:p w:rsidR="008C4828" w:rsidRDefault="008C4828">
      <w:pPr>
        <w:pStyle w:val="ConsPlusNormal"/>
        <w:jc w:val="right"/>
      </w:pPr>
      <w:r>
        <w:t>Правительства Кировской области</w:t>
      </w:r>
    </w:p>
    <w:p w:rsidR="008C4828" w:rsidRDefault="008C4828">
      <w:pPr>
        <w:pStyle w:val="ConsPlusNormal"/>
        <w:jc w:val="right"/>
      </w:pPr>
      <w:r>
        <w:t>от 20 сентября 2019 г. N 483-П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Title"/>
        <w:jc w:val="center"/>
      </w:pPr>
      <w:bookmarkStart w:id="0" w:name="P44"/>
      <w:bookmarkEnd w:id="0"/>
      <w:r>
        <w:t>ПОРЯДОК</w:t>
      </w:r>
    </w:p>
    <w:p w:rsidR="008C4828" w:rsidRDefault="008C4828">
      <w:pPr>
        <w:pStyle w:val="ConsPlusTitle"/>
        <w:jc w:val="center"/>
      </w:pPr>
      <w:r>
        <w:t>ОПРЕДЕЛЕНИЯ РАЗМЕРА АРЕНДНОЙ ПЛАТЫ, УСЛОВИЙ И СРОКОВ</w:t>
      </w:r>
    </w:p>
    <w:p w:rsidR="008C4828" w:rsidRDefault="008C4828">
      <w:pPr>
        <w:pStyle w:val="ConsPlusTitle"/>
        <w:jc w:val="center"/>
      </w:pPr>
      <w:r>
        <w:t>ВНЕСЕНИЯ АРЕНДНОЙ ПЛАТЫ ЗА ПРЕДОСТАВЛЕННЫЕ В АРЕНДУ</w:t>
      </w:r>
    </w:p>
    <w:p w:rsidR="008C4828" w:rsidRDefault="008C4828">
      <w:pPr>
        <w:pStyle w:val="ConsPlusTitle"/>
        <w:jc w:val="center"/>
      </w:pPr>
      <w:r>
        <w:t>БЕЗ ТОРГОВ ЗЕМЕЛЬНЫЕ УЧАСТКИ, НАХОДЯЩИЕСЯ В ГОСУДАРСТВЕННОЙ</w:t>
      </w:r>
    </w:p>
    <w:p w:rsidR="008C4828" w:rsidRDefault="008C4828">
      <w:pPr>
        <w:pStyle w:val="ConsPlusTitle"/>
        <w:jc w:val="center"/>
      </w:pPr>
      <w:r>
        <w:t>СОБСТВЕННОСТИ КИРОВСКОЙ ОБЛАСТИ, И ЗЕМЕЛЬНЫЕ УЧАСТКИ,</w:t>
      </w:r>
    </w:p>
    <w:p w:rsidR="008C4828" w:rsidRDefault="008C4828">
      <w:pPr>
        <w:pStyle w:val="ConsPlusTitle"/>
        <w:jc w:val="center"/>
      </w:pPr>
      <w:r>
        <w:t>ГОСУДАРСТВЕННАЯ СОБСТВЕННОСТЬ НА КОТОРЫЕ НЕ РАЗГРАНИЧЕНА,</w:t>
      </w:r>
    </w:p>
    <w:p w:rsidR="008C4828" w:rsidRDefault="008C4828">
      <w:pPr>
        <w:pStyle w:val="ConsPlusTitle"/>
        <w:jc w:val="center"/>
      </w:pPr>
      <w:r>
        <w:t>НА ТЕРРИТОРИИ КИРОВСКОЙ ОБЛАСТИ</w:t>
      </w:r>
    </w:p>
    <w:p w:rsidR="008C4828" w:rsidRDefault="008C48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8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20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2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22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3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29.03.2024 </w:t>
            </w:r>
            <w:hyperlink r:id="rId24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24.09.2024 </w:t>
            </w:r>
            <w:hyperlink r:id="rId25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>,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4828" w:rsidRDefault="008C4828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828" w:rsidRDefault="008C4828">
            <w:pPr>
              <w:pStyle w:val="ConsPlusNormal"/>
            </w:pPr>
          </w:p>
        </w:tc>
      </w:tr>
    </w:tbl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ind w:firstLine="540"/>
        <w:jc w:val="both"/>
      </w:pPr>
      <w:bookmarkStart w:id="1" w:name="P58"/>
      <w:bookmarkEnd w:id="1"/>
      <w:r>
        <w:t xml:space="preserve">1. 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земельные участки) в соответствии с Земельным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2. Годовой размер арендной платы за земельный участок, предоставленный лицу в соответствии с </w:t>
      </w:r>
      <w:hyperlink r:id="rId29">
        <w:r>
          <w:rPr>
            <w:color w:val="0000FF"/>
          </w:rPr>
          <w:t>пунктом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или лицу, к которому перешли права и обязанности по договору аренды такого земельного участка, устанавливается: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2.1. В размере 5%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lastRenderedPageBreak/>
        <w:t>2.2. В размере 10%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8">
        <w:r>
          <w:rPr>
            <w:color w:val="0000FF"/>
          </w:rPr>
          <w:t>6</w:t>
        </w:r>
      </w:hyperlink>
      <w:r>
        <w:t xml:space="preserve"> настоящего Порядка, устанавливается равным размеру земельного налога в отношении земельных участков: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3.2. Предоставленных гражданам для ведения садоводства, огородничества или животноводства.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3.3. Предоставленных для размещения объектов инженерной инфраструктуры.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3.6.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3.7. Предоставленных субъектам естественных монополий для строительства и размещения объектов транспортной инфраструктуры.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3.8. Предоставленных для размещения объектов детских оздоровительных лагерей.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3.9. Предоставленных для размещения объектов физической культуры и спорта и (или) для осуществления деятельности в сфере физической культуры и спорта.</w:t>
      </w:r>
    </w:p>
    <w:p w:rsidR="008C4828" w:rsidRDefault="008C4828">
      <w:pPr>
        <w:pStyle w:val="ConsPlusNormal"/>
        <w:jc w:val="both"/>
      </w:pPr>
      <w:r>
        <w:t xml:space="preserve">(пп. 3.9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29.03.2024 N 122-П)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3.11. Предоставленных для размещения объектов воздушного транспорта.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3.12. Предоставленных в аренду в случаях, предусмотренных </w:t>
      </w:r>
      <w:hyperlink r:id="rId3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за исключением земельных участков, указанных в </w:t>
      </w:r>
      <w:hyperlink w:anchor="P102">
        <w:r>
          <w:rPr>
            <w:color w:val="0000FF"/>
          </w:rPr>
          <w:t>подпункте 6.4</w:t>
        </w:r>
      </w:hyperlink>
      <w:r>
        <w:t xml:space="preserve"> настоящего Порядка.</w:t>
      </w:r>
    </w:p>
    <w:p w:rsidR="008C4828" w:rsidRDefault="008C4828">
      <w:pPr>
        <w:pStyle w:val="ConsPlusNormal"/>
        <w:jc w:val="both"/>
      </w:pPr>
      <w:r>
        <w:t xml:space="preserve">(пп. 3.12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3.13. Предоставленных для строительства (реконструкции) объектов инфраструктуры в области обращения с твердыми коммунальными отходами.</w:t>
      </w:r>
    </w:p>
    <w:p w:rsidR="008C4828" w:rsidRDefault="008C4828">
      <w:pPr>
        <w:pStyle w:val="ConsPlusNormal"/>
        <w:jc w:val="both"/>
      </w:pPr>
      <w:r>
        <w:t xml:space="preserve">(пп. 3.13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3.14. Предоставленных в соответствии с правовым актом Губернатора Кировской области для создания (реконструкции) объектов социально-культурного и коммунально-бытового назначения, реализации масштабного инвестиционного проекта на основании </w:t>
      </w:r>
      <w:hyperlink r:id="rId34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на срок создания (реконструкции) объектов социально-культурного и коммунально-бытового назначения или реализации масштабного инвестиционного проекта, за исключением земельных участков, указанных в </w:t>
      </w:r>
      <w:hyperlink w:anchor="P106">
        <w:r>
          <w:rPr>
            <w:color w:val="0000FF"/>
          </w:rPr>
          <w:t>подпункте 6.6</w:t>
        </w:r>
      </w:hyperlink>
      <w:r>
        <w:t xml:space="preserve"> настоящего Порядка.</w:t>
      </w:r>
    </w:p>
    <w:p w:rsidR="008C4828" w:rsidRDefault="008C4828">
      <w:pPr>
        <w:pStyle w:val="ConsPlusNormal"/>
        <w:jc w:val="both"/>
      </w:pPr>
      <w:r>
        <w:lastRenderedPageBreak/>
        <w:t xml:space="preserve">(пп. 3.14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3.15. Предоставленных лицам, с которыми заключен договор о комплексном развитии территории, за исключением земельных участков, указанных в </w:t>
      </w:r>
      <w:hyperlink w:anchor="P102">
        <w:r>
          <w:rPr>
            <w:color w:val="0000FF"/>
          </w:rPr>
          <w:t>подпунктах 6.4</w:t>
        </w:r>
      </w:hyperlink>
      <w:r>
        <w:t xml:space="preserve"> и </w:t>
      </w:r>
      <w:hyperlink w:anchor="P104">
        <w:r>
          <w:rPr>
            <w:color w:val="0000FF"/>
          </w:rPr>
          <w:t>6.5</w:t>
        </w:r>
      </w:hyperlink>
      <w:r>
        <w:t xml:space="preserve"> настоящего Порядка.</w:t>
      </w:r>
    </w:p>
    <w:p w:rsidR="008C4828" w:rsidRDefault="008C4828">
      <w:pPr>
        <w:pStyle w:val="ConsPlusNormal"/>
        <w:jc w:val="both"/>
      </w:pPr>
      <w:r>
        <w:t xml:space="preserve">(пп. 3.15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3.16. Предоставленных для осуществления деятельности, предусмотренной концессионным соглашением, за исключением земельных участков, указанных в </w:t>
      </w:r>
      <w:hyperlink w:anchor="P110">
        <w:r>
          <w:rPr>
            <w:color w:val="0000FF"/>
          </w:rPr>
          <w:t>подпункте 6.7</w:t>
        </w:r>
      </w:hyperlink>
      <w:r>
        <w:t xml:space="preserve"> и </w:t>
      </w:r>
      <w:hyperlink w:anchor="P112">
        <w:r>
          <w:rPr>
            <w:color w:val="0000FF"/>
          </w:rPr>
          <w:t>пункте 6-1</w:t>
        </w:r>
      </w:hyperlink>
      <w:r>
        <w:t xml:space="preserve"> настоящего Порядка.</w:t>
      </w:r>
    </w:p>
    <w:p w:rsidR="008C4828" w:rsidRDefault="008C4828">
      <w:pPr>
        <w:pStyle w:val="ConsPlusNormal"/>
        <w:jc w:val="both"/>
      </w:pPr>
      <w:r>
        <w:t xml:space="preserve">(пп. 3.16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24.09.2024 N 393-П)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3-1. При определении годового размера арендной платы за земельные участки, указанные в </w:t>
      </w:r>
      <w:hyperlink w:anchor="P71">
        <w:r>
          <w:rPr>
            <w:color w:val="0000FF"/>
          </w:rPr>
          <w:t>подпункте 3.9</w:t>
        </w:r>
      </w:hyperlink>
      <w:r>
        <w:t xml:space="preserve"> настоящего Порядка, размер земельного налога определяется с учетом налоговых льгот, установленных нормативными правовыми актами муниципальных образований Кировской области в соответствии с Налоговым кодексом Российской Федерации, но при этом годовой размер арендной платы за земельный участок должен быть не менее 0,1% от кадастровой стоимости земельного участка.</w:t>
      </w:r>
    </w:p>
    <w:p w:rsidR="008C4828" w:rsidRDefault="008C4828">
      <w:pPr>
        <w:pStyle w:val="ConsPlusNormal"/>
        <w:jc w:val="both"/>
      </w:pPr>
      <w:r>
        <w:t xml:space="preserve">(п. 3-1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29.03.2024 N 122-П)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4. Годовой размер арендной платы за использование лесных участков, государственная собственность на которые не разграничена, расположенных в границах муниципальных образований Кировской области, устанавливается: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4.1. Как произведение ставки платы за единицу объема лесных ресурсов, утверждаемой Правительством Кировской области, и объема изъятия лесных ресурсов на арендуемом лесном участке - при использовании такого участка с изъятием лесных ресурсов.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4.2. Как произведение ставки платы за единицу площади лесного участка, утверждаемой Правительством Кировской области, и площади арендуемого лесного участка - при использовании такого участка без изъятия лесных ресурсов.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5.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8">
        <w:r>
          <w:rPr>
            <w:color w:val="0000FF"/>
          </w:rPr>
          <w:t>6</w:t>
        </w:r>
      </w:hyperlink>
      <w:r>
        <w:t xml:space="preserve"> настоящего Порядка, устанавливается в размере 0,01% от кадастровой стоимости земельного участка: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5.1.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5.2. Изъятого из оборота, если такой земельный участок в случаях, установленных федеральным законодательством, может быть передан в аренду.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5.3.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5.4.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нулю.</w:t>
      </w:r>
    </w:p>
    <w:p w:rsidR="008C4828" w:rsidRDefault="008C4828">
      <w:pPr>
        <w:pStyle w:val="ConsPlusNormal"/>
        <w:jc w:val="both"/>
      </w:pPr>
      <w:r>
        <w:t xml:space="preserve">(пп. 5.4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5.5.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</w:t>
      </w:r>
      <w:r>
        <w:lastRenderedPageBreak/>
        <w:t>размер налогового вычета меньше размера налоговой базы. При этом ставка 0,01% устанавливается в отношении арендной платы, равной размеру такого вычета.</w:t>
      </w:r>
    </w:p>
    <w:p w:rsidR="008C4828" w:rsidRDefault="008C4828">
      <w:pPr>
        <w:pStyle w:val="ConsPlusNormal"/>
        <w:jc w:val="both"/>
      </w:pPr>
      <w:r>
        <w:t xml:space="preserve">(пп. 5.5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6.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пунктом 2</w:t>
        </w:r>
      </w:hyperlink>
      <w:r>
        <w:t xml:space="preserve"> настоящего Порядка, устанавливается в размере 0,1% от кадастровой стоимости земельных участков: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6.1. Предоставленных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6.2.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6.3.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6.4. Предоставленных лицам, с которыми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застройки.</w:t>
      </w:r>
    </w:p>
    <w:p w:rsidR="008C4828" w:rsidRDefault="008C4828">
      <w:pPr>
        <w:pStyle w:val="ConsPlusNormal"/>
        <w:jc w:val="both"/>
      </w:pPr>
      <w:r>
        <w:t xml:space="preserve">(пп. 6.4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6.5. Предоставленных лицам, с которыми заключен договор о комплексном развитии территории, за исключением земельных участков, указанных в пункте 6.4 настоящего Порядка, в случаях, если земельные участки предоставлены в целях строительства объектов, относящихся к сфере образования, культуры, здравоохранения, физической культуры и спорта, социального обеспечения, объектов транспортной инфраструктуры, объектов коммунальной инфраструктуры и договором и (или) решением о комплексном развитии территории предусмотрена последующая безвозмездная передача указанных объектов в государственную или муниципальную собственность.</w:t>
      </w:r>
    </w:p>
    <w:p w:rsidR="008C4828" w:rsidRDefault="008C4828">
      <w:pPr>
        <w:pStyle w:val="ConsPlusNormal"/>
        <w:jc w:val="both"/>
      </w:pPr>
      <w:r>
        <w:t xml:space="preserve">(пп. 6.5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7" w:name="P106"/>
      <w:bookmarkEnd w:id="7"/>
      <w:r>
        <w:t xml:space="preserve">6.6. Предоставленных юридическим лицам в соответствии с распоряжением Губернатора Кировской области на основании </w:t>
      </w:r>
      <w:hyperlink r:id="rId43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6.6.1. На срок создания (реконструкции) объектов социально-культурного назначения, относящихся к сфере образования, культуры, здравоохранения, физической культуры и спорта, организации отдыха граждан и туризма, социального обеспечения, объектов коммунально-бытового назначения, относящихся к сфере электроэнергетики, теплоснабжения, водоснабжения, водоотведения, к сфере обращения с отходами, при условии, что соглашением о создании (реконструкции) объектов социально-культурного назначения или соглашением о создании (реконструкции) объектов коммунально-бытового назначения предусмотрена последующая безвозмездная передача указанных объектов в государственную или муниципальную собственность.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6.6.2. На срок реализации масштабного инвестиционного проекта любого типа в случае, если в рамках его реализации предоставляются, в том числе, земельные участки для строительства объектов социально-культурного назначения, и (или) объектов коммунально-бытового назначения, и (или) объектов транспортной инфраструктуры при условии, что соглашением о реализации масштабного инвестиционного проекта предусмотрена последующая безвозмездная передача указанных объектов в государственную или муниципальную собственность.</w:t>
      </w:r>
    </w:p>
    <w:p w:rsidR="008C4828" w:rsidRDefault="008C4828">
      <w:pPr>
        <w:pStyle w:val="ConsPlusNormal"/>
        <w:jc w:val="both"/>
      </w:pPr>
      <w:r>
        <w:lastRenderedPageBreak/>
        <w:t xml:space="preserve">(пп. 6.6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6.7. Предоставленных для осуществления деятельности, предусмотренной концессионным соглашением, в случае если объектами концессионного соглашения являются объекты здравоохранения, в том числе объекты, предназначенные для санаторно-курортного лечения, объекты образования, культуры, спорта, объекты, используемые для организации отдыха граждан и туризма, иные объекты социально-культурного назначения, за исключением земельных участков, указанных в пункте 6-1 настоящего Порядка.</w:t>
      </w:r>
    </w:p>
    <w:p w:rsidR="008C4828" w:rsidRDefault="008C4828">
      <w:pPr>
        <w:pStyle w:val="ConsPlusNormal"/>
        <w:jc w:val="both"/>
      </w:pPr>
      <w:r>
        <w:t xml:space="preserve">(пп. 6.7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24.09.2024 N 393-П)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9" w:name="P112"/>
      <w:bookmarkEnd w:id="9"/>
      <w:r>
        <w:t>6-1. Годовой размер арендной платы за земельные участки, указанные в подпункте 6.7 настоящего Порядка, в отношении которых концессионным соглашением предусмотрено возмещение затрат концессионера на уплату арендной платы, устанавливается в размере одного рубля за один земельный участок на период, за который концессионным соглашением предусмотрено возмещение затрат концессионера на уплату арендной платы.</w:t>
      </w:r>
    </w:p>
    <w:p w:rsidR="008C4828" w:rsidRDefault="008C4828">
      <w:pPr>
        <w:pStyle w:val="ConsPlusNormal"/>
        <w:jc w:val="both"/>
      </w:pPr>
      <w:r>
        <w:t xml:space="preserve">(п. 6-1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24.09.2024 N 393-П)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7. Размер арендной платы за земельные участки, предоставленные для размещения объектов, предусмотренных </w:t>
      </w:r>
      <w:hyperlink r:id="rId47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8C4828" w:rsidRDefault="008C4828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8.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пунктами 2 - 7 настоящего Порядка, устанавливается равным в отношении земельных участков: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расположенных в границах муниципального образования "Город Киров":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(приусадебный земельный участок), для размещения блокированного жилого дома,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3,9-кратному размеру земельного налога в отношении земельных участков, предоставленных для размещения гаражей (гаражных боксов) и автостоянок для хранения индивидуального автотранспорта (за исключением платных автостоянок), гаражных боксов совместно с овощными кладовками, овощных (хозяйственных) кладовок,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4-кратному размеру земельного налога в отношении земельных участков, предоставленных для размещения производственно-складских зданий, строений, сооружений промышленности и коммунального хозяйства, а также для размещения гаражей и автостоянок для коммерческого использования, объектов торговли, общественного питания и бытового обслуживания, а также административных и офисных зданий, строений, сооружений делового и коммерческого назначения,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расположенных в границах иных муниципальных образований Кировской области 2-кратному размеру земельного налога.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lastRenderedPageBreak/>
        <w:t xml:space="preserve">При заключении договора аренды земельных участков, указанных в </w:t>
      </w:r>
      <w:hyperlink w:anchor="P115">
        <w:r>
          <w:rPr>
            <w:color w:val="0000FF"/>
          </w:rPr>
          <w:t>пункте 8</w:t>
        </w:r>
      </w:hyperlink>
      <w: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 (Кд), определяемого по формуле: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65112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ind w:firstLine="540"/>
        <w:jc w:val="both"/>
      </w:pPr>
      <w:r>
        <w:t>n - прогнозное значение индекса-дефлятора платных услуг по Кировской области, определенное Правительством Кировской области на i-й финансовый год;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i - год, следующий за годом заключения договора аренды, либо год, следующий за годом изменения кадастровой стоимости земельных участков;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m - количество лет, прошедших с года, следующего за годом заключения договора аренды, либо с года, следующего за годом изменения кадастровой стоимости земельных участков.</w:t>
      </w:r>
    </w:p>
    <w:p w:rsidR="008C4828" w:rsidRDefault="008C4828">
      <w:pPr>
        <w:pStyle w:val="ConsPlusNormal"/>
        <w:jc w:val="both"/>
      </w:pPr>
      <w:r>
        <w:t xml:space="preserve">(п. 8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15.11.2021 N 616-П.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10.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11.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12.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коэффициента-дефлятора, указанного в </w:t>
      </w:r>
      <w:hyperlink w:anchor="P115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8C4828" w:rsidRDefault="008C4828">
      <w:pPr>
        <w:pStyle w:val="ConsPlusNormal"/>
        <w:jc w:val="both"/>
      </w:pPr>
      <w:r>
        <w:t xml:space="preserve">(п. 12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>13.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C4828" w:rsidRDefault="008C4828">
      <w:pPr>
        <w:pStyle w:val="ConsPlusNormal"/>
        <w:spacing w:before="220"/>
        <w:ind w:firstLine="540"/>
        <w:jc w:val="both"/>
      </w:pPr>
      <w:r>
        <w:t xml:space="preserve">14. Арендная плата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уплачивается ежеквартально не позднее 15-го числа последнего месяца квартала пропорционально количеству календарных дней в квартале, если иное не предусмотрено договором аренды земельного участка.</w:t>
      </w:r>
    </w:p>
    <w:p w:rsidR="008C4828" w:rsidRDefault="008C4828">
      <w:pPr>
        <w:pStyle w:val="ConsPlusNormal"/>
        <w:jc w:val="both"/>
      </w:pPr>
      <w:r>
        <w:t xml:space="preserve">(п. 14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jc w:val="both"/>
      </w:pPr>
    </w:p>
    <w:p w:rsidR="008C4828" w:rsidRDefault="008C48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164" w:rsidRDefault="004D3164">
      <w:bookmarkStart w:id="11" w:name="_GoBack"/>
      <w:bookmarkEnd w:id="11"/>
    </w:p>
    <w:sectPr w:rsidR="004D3164" w:rsidSect="00BB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28"/>
    <w:rsid w:val="004D3164"/>
    <w:rsid w:val="008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3314-A04E-4DC0-9347-21F9231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8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9540" TargetMode="External"/><Relationship Id="rId18" Type="http://schemas.openxmlformats.org/officeDocument/2006/relationships/hyperlink" Target="https://login.consultant.ru/link/?req=doc&amp;base=RLAW240&amp;n=89351" TargetMode="External"/><Relationship Id="rId26" Type="http://schemas.openxmlformats.org/officeDocument/2006/relationships/hyperlink" Target="https://login.consultant.ru/link/?req=doc&amp;base=RLAW240&amp;n=171774&amp;dst=100050" TargetMode="External"/><Relationship Id="rId39" Type="http://schemas.openxmlformats.org/officeDocument/2006/relationships/hyperlink" Target="https://login.consultant.ru/link/?req=doc&amp;base=RLAW240&amp;n=180148&amp;dst=100014" TargetMode="External"/><Relationship Id="rId21" Type="http://schemas.openxmlformats.org/officeDocument/2006/relationships/hyperlink" Target="https://login.consultant.ru/link/?req=doc&amp;base=RLAW240&amp;n=209317&amp;dst=100005" TargetMode="External"/><Relationship Id="rId34" Type="http://schemas.openxmlformats.org/officeDocument/2006/relationships/hyperlink" Target="https://login.consultant.ru/link/?req=doc&amp;base=LAW&amp;n=471068&amp;dst=470" TargetMode="External"/><Relationship Id="rId42" Type="http://schemas.openxmlformats.org/officeDocument/2006/relationships/hyperlink" Target="https://login.consultant.ru/link/?req=doc&amp;base=RLAW240&amp;n=209317&amp;dst=100020" TargetMode="External"/><Relationship Id="rId47" Type="http://schemas.openxmlformats.org/officeDocument/2006/relationships/hyperlink" Target="https://login.consultant.ru/link/?req=doc&amp;base=LAW&amp;n=471068&amp;dst=1267" TargetMode="External"/><Relationship Id="rId50" Type="http://schemas.openxmlformats.org/officeDocument/2006/relationships/hyperlink" Target="https://login.consultant.ru/link/?req=doc&amp;base=RLAW240&amp;n=180148&amp;dst=100027" TargetMode="External"/><Relationship Id="rId7" Type="http://schemas.openxmlformats.org/officeDocument/2006/relationships/hyperlink" Target="https://login.consultant.ru/link/?req=doc&amp;base=RLAW240&amp;n=21649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34261" TargetMode="External"/><Relationship Id="rId29" Type="http://schemas.openxmlformats.org/officeDocument/2006/relationships/hyperlink" Target="https://login.consultant.ru/link/?req=doc&amp;base=LAW&amp;n=489361&amp;dst=100071" TargetMode="External"/><Relationship Id="rId11" Type="http://schemas.openxmlformats.org/officeDocument/2006/relationships/hyperlink" Target="https://login.consultant.ru/link/?req=doc&amp;base=RLAW240&amp;n=171774&amp;dst=100050" TargetMode="External"/><Relationship Id="rId24" Type="http://schemas.openxmlformats.org/officeDocument/2006/relationships/hyperlink" Target="https://login.consultant.ru/link/?req=doc&amp;base=RLAW240&amp;n=224808&amp;dst=100005" TargetMode="External"/><Relationship Id="rId32" Type="http://schemas.openxmlformats.org/officeDocument/2006/relationships/hyperlink" Target="https://login.consultant.ru/link/?req=doc&amp;base=RLAW240&amp;n=209317&amp;dst=100012" TargetMode="External"/><Relationship Id="rId37" Type="http://schemas.openxmlformats.org/officeDocument/2006/relationships/hyperlink" Target="https://login.consultant.ru/link/?req=doc&amp;base=RLAW240&amp;n=233262&amp;dst=100011" TargetMode="External"/><Relationship Id="rId40" Type="http://schemas.openxmlformats.org/officeDocument/2006/relationships/hyperlink" Target="https://login.consultant.ru/link/?req=doc&amp;base=RLAW240&amp;n=180148&amp;dst=100016" TargetMode="External"/><Relationship Id="rId45" Type="http://schemas.openxmlformats.org/officeDocument/2006/relationships/hyperlink" Target="https://login.consultant.ru/link/?req=doc&amp;base=RLAW240&amp;n=233262&amp;dst=10001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180148&amp;dst=100005" TargetMode="External"/><Relationship Id="rId10" Type="http://schemas.openxmlformats.org/officeDocument/2006/relationships/hyperlink" Target="https://login.consultant.ru/link/?req=doc&amp;base=RLAW240&amp;n=233262&amp;dst=100005" TargetMode="External"/><Relationship Id="rId19" Type="http://schemas.openxmlformats.org/officeDocument/2006/relationships/hyperlink" Target="https://login.consultant.ru/link/?req=doc&amp;base=RLAW240&amp;n=134170" TargetMode="External"/><Relationship Id="rId31" Type="http://schemas.openxmlformats.org/officeDocument/2006/relationships/hyperlink" Target="https://login.consultant.ru/link/?req=doc&amp;base=LAW&amp;n=471068&amp;dst=521" TargetMode="External"/><Relationship Id="rId44" Type="http://schemas.openxmlformats.org/officeDocument/2006/relationships/hyperlink" Target="https://login.consultant.ru/link/?req=doc&amp;base=RLAW240&amp;n=209317&amp;dst=100021" TargetMode="External"/><Relationship Id="rId52" Type="http://schemas.openxmlformats.org/officeDocument/2006/relationships/hyperlink" Target="https://login.consultant.ru/link/?req=doc&amp;base=RLAW240&amp;n=216491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4808&amp;dst=100005" TargetMode="External"/><Relationship Id="rId14" Type="http://schemas.openxmlformats.org/officeDocument/2006/relationships/hyperlink" Target="https://login.consultant.ru/link/?req=doc&amp;base=RLAW240&amp;n=93936" TargetMode="External"/><Relationship Id="rId22" Type="http://schemas.openxmlformats.org/officeDocument/2006/relationships/hyperlink" Target="https://login.consultant.ru/link/?req=doc&amp;base=RLAW240&amp;n=216491&amp;dst=100005" TargetMode="External"/><Relationship Id="rId27" Type="http://schemas.openxmlformats.org/officeDocument/2006/relationships/hyperlink" Target="https://login.consultant.ru/link/?req=doc&amp;base=LAW&amp;n=471068&amp;dst=518" TargetMode="External"/><Relationship Id="rId30" Type="http://schemas.openxmlformats.org/officeDocument/2006/relationships/hyperlink" Target="https://login.consultant.ru/link/?req=doc&amp;base=RLAW240&amp;n=224808&amp;dst=100011" TargetMode="External"/><Relationship Id="rId35" Type="http://schemas.openxmlformats.org/officeDocument/2006/relationships/hyperlink" Target="https://login.consultant.ru/link/?req=doc&amp;base=RLAW240&amp;n=209317&amp;dst=100014" TargetMode="External"/><Relationship Id="rId43" Type="http://schemas.openxmlformats.org/officeDocument/2006/relationships/hyperlink" Target="https://login.consultant.ru/link/?req=doc&amp;base=LAW&amp;n=471068&amp;dst=470" TargetMode="External"/><Relationship Id="rId48" Type="http://schemas.openxmlformats.org/officeDocument/2006/relationships/image" Target="media/image1.wmf"/><Relationship Id="rId8" Type="http://schemas.openxmlformats.org/officeDocument/2006/relationships/hyperlink" Target="https://login.consultant.ru/link/?req=doc&amp;base=RLAW240&amp;n=216771&amp;dst=100005" TargetMode="External"/><Relationship Id="rId51" Type="http://schemas.openxmlformats.org/officeDocument/2006/relationships/hyperlink" Target="https://login.consultant.ru/link/?req=doc&amp;base=RLAW240&amp;n=180148&amp;dst=1000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068&amp;dst=518" TargetMode="External"/><Relationship Id="rId17" Type="http://schemas.openxmlformats.org/officeDocument/2006/relationships/hyperlink" Target="https://login.consultant.ru/link/?req=doc&amp;base=RLAW240&amp;n=75277" TargetMode="External"/><Relationship Id="rId25" Type="http://schemas.openxmlformats.org/officeDocument/2006/relationships/hyperlink" Target="https://login.consultant.ru/link/?req=doc&amp;base=RLAW240&amp;n=233262&amp;dst=100005" TargetMode="External"/><Relationship Id="rId33" Type="http://schemas.openxmlformats.org/officeDocument/2006/relationships/hyperlink" Target="https://login.consultant.ru/link/?req=doc&amp;base=RLAW240&amp;n=180148&amp;dst=100011" TargetMode="External"/><Relationship Id="rId38" Type="http://schemas.openxmlformats.org/officeDocument/2006/relationships/hyperlink" Target="https://login.consultant.ru/link/?req=doc&amp;base=RLAW240&amp;n=224808&amp;dst=100013" TargetMode="External"/><Relationship Id="rId46" Type="http://schemas.openxmlformats.org/officeDocument/2006/relationships/hyperlink" Target="https://login.consultant.ru/link/?req=doc&amp;base=RLAW240&amp;n=233262&amp;dst=100015" TargetMode="External"/><Relationship Id="rId20" Type="http://schemas.openxmlformats.org/officeDocument/2006/relationships/hyperlink" Target="https://login.consultant.ru/link/?req=doc&amp;base=RLAW240&amp;n=180148&amp;dst=100005" TargetMode="External"/><Relationship Id="rId41" Type="http://schemas.openxmlformats.org/officeDocument/2006/relationships/hyperlink" Target="https://login.consultant.ru/link/?req=doc&amp;base=RLAW240&amp;n=209317&amp;dst=10001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9317&amp;dst=100005" TargetMode="External"/><Relationship Id="rId15" Type="http://schemas.openxmlformats.org/officeDocument/2006/relationships/hyperlink" Target="https://login.consultant.ru/link/?req=doc&amp;base=RLAW240&amp;n=93936&amp;dst=100005" TargetMode="External"/><Relationship Id="rId23" Type="http://schemas.openxmlformats.org/officeDocument/2006/relationships/hyperlink" Target="https://login.consultant.ru/link/?req=doc&amp;base=RLAW240&amp;n=216771&amp;dst=100005" TargetMode="External"/><Relationship Id="rId28" Type="http://schemas.openxmlformats.org/officeDocument/2006/relationships/hyperlink" Target="https://login.consultant.ru/link/?req=doc&amp;base=LAW&amp;n=489361" TargetMode="External"/><Relationship Id="rId36" Type="http://schemas.openxmlformats.org/officeDocument/2006/relationships/hyperlink" Target="https://login.consultant.ru/link/?req=doc&amp;base=RLAW240&amp;n=209317&amp;dst=100016" TargetMode="External"/><Relationship Id="rId49" Type="http://schemas.openxmlformats.org/officeDocument/2006/relationships/hyperlink" Target="https://login.consultant.ru/link/?req=doc&amp;base=RLAW240&amp;n=21649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Огородова</dc:creator>
  <cp:keywords/>
  <dc:description/>
  <cp:lastModifiedBy>Светлана Николаевна Огородова</cp:lastModifiedBy>
  <cp:revision>1</cp:revision>
  <dcterms:created xsi:type="dcterms:W3CDTF">2024-11-20T11:32:00Z</dcterms:created>
  <dcterms:modified xsi:type="dcterms:W3CDTF">2024-11-20T11:33:00Z</dcterms:modified>
</cp:coreProperties>
</file>