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5630DF">
        <w:rPr>
          <w:rFonts w:ascii="Times New Roman" w:hAnsi="Times New Roman" w:cs="Times New Roman"/>
        </w:rPr>
        <w:t>04</w:t>
      </w:r>
      <w:r w:rsidR="00AA57E6" w:rsidRPr="00582B3B">
        <w:rPr>
          <w:rFonts w:ascii="Times New Roman" w:hAnsi="Times New Roman" w:cs="Times New Roman"/>
        </w:rPr>
        <w:t>.</w:t>
      </w:r>
      <w:r w:rsidR="005630DF">
        <w:rPr>
          <w:rFonts w:ascii="Times New Roman" w:hAnsi="Times New Roman" w:cs="Times New Roman"/>
        </w:rPr>
        <w:t>03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5630DF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C35791" w:rsidRDefault="00C35791" w:rsidP="00690987">
      <w:pPr>
        <w:spacing w:line="276" w:lineRule="auto"/>
        <w:ind w:right="85" w:firstLine="709"/>
        <w:jc w:val="both"/>
      </w:pP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5630DF" w:rsidRPr="00143DC9">
        <w:t xml:space="preserve">Прогнозный </w:t>
      </w:r>
      <w:hyperlink r:id="rId7" w:history="1">
        <w:r w:rsidR="005630DF" w:rsidRPr="00143DC9">
          <w:t>план</w:t>
        </w:r>
      </w:hyperlink>
      <w:r w:rsidR="005630DF" w:rsidRPr="00143DC9">
        <w:t xml:space="preserve"> (программа) приватизации государственного имущества Кировской области на 202</w:t>
      </w:r>
      <w:r w:rsidR="005630DF">
        <w:t>6</w:t>
      </w:r>
      <w:r w:rsidR="005630DF" w:rsidRPr="00143DC9">
        <w:t xml:space="preserve"> год и на период 202</w:t>
      </w:r>
      <w:r w:rsidR="005630DF">
        <w:t>7</w:t>
      </w:r>
      <w:r w:rsidR="005630DF" w:rsidRPr="00143DC9">
        <w:t xml:space="preserve"> и  202</w:t>
      </w:r>
      <w:r w:rsidR="005630DF">
        <w:t>8</w:t>
      </w:r>
      <w:r w:rsidR="005630DF" w:rsidRPr="00143DC9">
        <w:t xml:space="preserve"> годов, утвержденный постановлением Правительства Кировской области от </w:t>
      </w:r>
      <w:r w:rsidR="005630DF">
        <w:t>09</w:t>
      </w:r>
      <w:r w:rsidR="005630DF" w:rsidRPr="00143DC9">
        <w:t>.10.202</w:t>
      </w:r>
      <w:r w:rsidR="005630DF">
        <w:t>5</w:t>
      </w:r>
      <w:r w:rsidR="005630DF" w:rsidRPr="00143DC9">
        <w:t xml:space="preserve"> года </w:t>
      </w:r>
      <w:r w:rsidR="00935D84">
        <w:br/>
      </w:r>
      <w:r w:rsidR="005630DF" w:rsidRPr="00143DC9">
        <w:t xml:space="preserve">№ </w:t>
      </w:r>
      <w:r w:rsidR="005630DF">
        <w:t>508</w:t>
      </w:r>
      <w:r w:rsidR="005630DF" w:rsidRPr="00143DC9">
        <w:t xml:space="preserve"> - П, распоряжение министерства имущественных отношений Кировской области </w:t>
      </w:r>
      <w:r w:rsidR="00935D84">
        <w:br/>
      </w:r>
      <w:r w:rsidR="005630DF" w:rsidRPr="00143DC9">
        <w:t xml:space="preserve">от </w:t>
      </w:r>
      <w:r w:rsidR="005630DF" w:rsidRPr="00806233">
        <w:t>2</w:t>
      </w:r>
      <w:r w:rsidR="005630DF">
        <w:t>3</w:t>
      </w:r>
      <w:r w:rsidR="005630DF" w:rsidRPr="00806233">
        <w:t>.</w:t>
      </w:r>
      <w:r w:rsidR="005630DF">
        <w:t>0</w:t>
      </w:r>
      <w:r w:rsidR="005630DF" w:rsidRPr="00806233">
        <w:t>1.202</w:t>
      </w:r>
      <w:r w:rsidR="005630DF">
        <w:t>6</w:t>
      </w:r>
      <w:r w:rsidR="005630DF" w:rsidRPr="00806233">
        <w:t xml:space="preserve"> № </w:t>
      </w:r>
      <w:r w:rsidR="005630DF">
        <w:t>33</w:t>
      </w:r>
      <w:r w:rsidR="00FC7479" w:rsidRPr="00097EFE">
        <w:t>.</w:t>
      </w:r>
    </w:p>
    <w:p w:rsidR="00C35791" w:rsidRDefault="00C35791" w:rsidP="00690987">
      <w:pPr>
        <w:spacing w:line="276" w:lineRule="auto"/>
        <w:ind w:firstLine="709"/>
        <w:jc w:val="both"/>
      </w:pP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C35791" w:rsidRDefault="00C35791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1054CE" w:rsidRPr="001054CE" w:rsidRDefault="006E25C3" w:rsidP="001054CE">
      <w:pPr>
        <w:ind w:right="227" w:firstLine="709"/>
        <w:jc w:val="both"/>
        <w:rPr>
          <w:i/>
          <w:spacing w:val="-13"/>
        </w:rPr>
      </w:pPr>
      <w:r w:rsidRPr="006E25C3">
        <w:t>4.1. </w:t>
      </w:r>
      <w:r w:rsidR="001054CE" w:rsidRPr="001054CE">
        <w:t>Объекты недвижимого имущества, расположенные по адресу</w:t>
      </w:r>
      <w:proofErr w:type="gramStart"/>
      <w:r w:rsidR="001054CE" w:rsidRPr="001054CE">
        <w:t>:</w:t>
      </w:r>
      <w:proofErr w:type="gramEnd"/>
      <w:r w:rsidR="001054CE" w:rsidRPr="001054CE">
        <w:t xml:space="preserve"> Кировская область, Юрьянский район, пгт Мурыгино, ул. Новая, д. 34: </w:t>
      </w:r>
    </w:p>
    <w:p w:rsidR="001054CE" w:rsidRPr="001054CE" w:rsidRDefault="001054CE" w:rsidP="001054CE">
      <w:pPr>
        <w:spacing w:line="240" w:lineRule="exact"/>
        <w:jc w:val="both"/>
      </w:pPr>
      <w:r w:rsidRPr="001054CE">
        <w:t xml:space="preserve">            </w:t>
      </w:r>
    </w:p>
    <w:p w:rsidR="001054CE" w:rsidRPr="001054CE" w:rsidRDefault="001054CE" w:rsidP="001054CE">
      <w:pPr>
        <w:spacing w:line="280" w:lineRule="exact"/>
        <w:jc w:val="both"/>
      </w:pPr>
      <w:r w:rsidRPr="001054CE">
        <w:t xml:space="preserve">            Нежилое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054CE" w:rsidRPr="001054CE" w:rsidTr="00F83CBB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Кадастровый номер</w:t>
            </w:r>
          </w:p>
        </w:tc>
      </w:tr>
      <w:tr w:rsidR="001054CE" w:rsidRPr="001054CE" w:rsidTr="00F83CBB">
        <w:trPr>
          <w:trHeight w:hRule="exact" w:val="1140"/>
        </w:trPr>
        <w:tc>
          <w:tcPr>
            <w:tcW w:w="709" w:type="dxa"/>
            <w:shd w:val="clear" w:color="auto" w:fill="FFFFFF"/>
            <w:vAlign w:val="center"/>
            <w:hideMark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ind w:right="227"/>
              <w:jc w:val="both"/>
            </w:pPr>
            <w:r w:rsidRPr="001054CE">
              <w:t xml:space="preserve">Нежилое здание, назначение: нежилое, этажность (этаж): 2, расположенное по адресу: Кировская область, Юрьянский район, </w:t>
            </w:r>
            <w:r w:rsidRPr="001054CE">
              <w:br/>
              <w:t>пгт Мурыгино, ул. Новая, д. 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701,3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  <w:rPr>
                <w:highlight w:val="yellow"/>
              </w:rPr>
            </w:pPr>
            <w:r w:rsidRPr="001054CE">
              <w:t>43:38:270106:902</w:t>
            </w:r>
          </w:p>
        </w:tc>
      </w:tr>
      <w:tr w:rsidR="001054CE" w:rsidRPr="001054CE" w:rsidTr="00F83CBB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spacing w:line="240" w:lineRule="exact"/>
              <w:jc w:val="center"/>
            </w:pPr>
            <w:r w:rsidRPr="001054CE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ind w:right="227"/>
              <w:jc w:val="both"/>
            </w:pPr>
            <w:r w:rsidRPr="001054CE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1 500,00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54CE" w:rsidRPr="001054CE" w:rsidRDefault="001054CE" w:rsidP="00F83CBB">
            <w:pPr>
              <w:jc w:val="center"/>
            </w:pPr>
            <w:r w:rsidRPr="001054CE">
              <w:t>43:38:270106:975</w:t>
            </w:r>
          </w:p>
        </w:tc>
      </w:tr>
    </w:tbl>
    <w:p w:rsidR="001054CE" w:rsidRPr="005630DF" w:rsidRDefault="001054CE" w:rsidP="001054CE">
      <w:pPr>
        <w:ind w:right="227" w:firstLine="709"/>
        <w:jc w:val="both"/>
      </w:pPr>
      <w:r w:rsidRPr="005630DF">
        <w:t>Ограничения прав на земельный участок:</w:t>
      </w:r>
    </w:p>
    <w:p w:rsidR="005630DF" w:rsidRPr="005630DF" w:rsidRDefault="005630DF" w:rsidP="005630DF">
      <w:pPr>
        <w:autoSpaceDE w:val="0"/>
        <w:autoSpaceDN w:val="0"/>
        <w:adjustRightInd w:val="0"/>
        <w:ind w:firstLine="709"/>
        <w:jc w:val="both"/>
      </w:pPr>
      <w:r w:rsidRPr="005630DF">
        <w:rPr>
          <w:shd w:val="clear" w:color="auto" w:fill="FFFFFF"/>
        </w:rPr>
        <w:t xml:space="preserve">Ограничения в использовании земельного участка </w:t>
      </w:r>
      <w:r w:rsidRPr="005630DF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5630DF">
        <w:rPr>
          <w:color w:val="FF0000"/>
          <w:spacing w:val="-6"/>
        </w:rPr>
        <w:t xml:space="preserve"> </w:t>
      </w:r>
      <w:r w:rsidRPr="005630DF">
        <w:rPr>
          <w:spacing w:val="-6"/>
        </w:rPr>
        <w:t>20</w:t>
      </w:r>
      <w:r w:rsidRPr="005630DF">
        <w:t xml:space="preserve">.01.2026г. </w:t>
      </w:r>
      <w:r w:rsidRPr="005630DF">
        <w:br/>
        <w:t>№ КУВИ-001/2026-5319292.</w:t>
      </w:r>
    </w:p>
    <w:p w:rsidR="005630DF" w:rsidRPr="005630DF" w:rsidRDefault="005630DF" w:rsidP="005630DF">
      <w:pPr>
        <w:ind w:firstLine="709"/>
        <w:jc w:val="both"/>
        <w:rPr>
          <w:bCs/>
        </w:rPr>
      </w:pPr>
      <w:r w:rsidRPr="005630DF">
        <w:t>Цена первоначального предложения (начальная цена): 2 483 616 (два миллиона четыреста восемьдесят три тысячи шестьсот шестнадцать</w:t>
      </w:r>
      <w:r w:rsidRPr="005630DF">
        <w:rPr>
          <w:color w:val="000000"/>
        </w:rPr>
        <w:t xml:space="preserve">) рублей </w:t>
      </w:r>
      <w:r w:rsidRPr="005630DF">
        <w:rPr>
          <w:color w:val="000000"/>
        </w:rPr>
        <w:br/>
        <w:t>66 копеек, в том числе НДС 325 783 (триста двадцать пять тысяч семьсот восемьдесят три) рубля 33 копейки</w:t>
      </w:r>
      <w:r w:rsidRPr="005630DF">
        <w:rPr>
          <w:bCs/>
        </w:rPr>
        <w:t xml:space="preserve"> </w:t>
      </w:r>
    </w:p>
    <w:p w:rsidR="005630DF" w:rsidRPr="005630DF" w:rsidRDefault="005630DF" w:rsidP="005630DF">
      <w:pPr>
        <w:ind w:firstLine="709"/>
        <w:jc w:val="both"/>
        <w:rPr>
          <w:bCs/>
        </w:rPr>
      </w:pPr>
      <w:r w:rsidRPr="005630DF">
        <w:t xml:space="preserve">Величина повышения начальной цены («шаг аукциона»): </w:t>
      </w:r>
      <w:r w:rsidRPr="005630DF">
        <w:rPr>
          <w:color w:val="000000"/>
        </w:rPr>
        <w:t>124 180 (сто двадцать четыре тысячи сто восемьдесят) рублей 83 копейки.</w:t>
      </w:r>
      <w:r w:rsidRPr="005630DF">
        <w:rPr>
          <w:bCs/>
        </w:rPr>
        <w:t xml:space="preserve">            </w:t>
      </w:r>
    </w:p>
    <w:p w:rsidR="005630DF" w:rsidRPr="005630DF" w:rsidRDefault="005630DF" w:rsidP="005630DF">
      <w:pPr>
        <w:ind w:firstLine="709"/>
        <w:jc w:val="both"/>
      </w:pPr>
      <w:r w:rsidRPr="005630DF">
        <w:t>Существующие ограничения (обременения) права: не зарегистрировано.</w:t>
      </w:r>
    </w:p>
    <w:p w:rsidR="008146E1" w:rsidRDefault="00DB32FF" w:rsidP="008146E1">
      <w:pPr>
        <w:spacing w:line="280" w:lineRule="exact"/>
        <w:ind w:right="227" w:firstLine="709"/>
        <w:jc w:val="both"/>
      </w:pPr>
      <w:r w:rsidRPr="0011057C">
        <w:t xml:space="preserve">            </w:t>
      </w: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935D84">
        <w:t>02</w:t>
      </w:r>
      <w:r w:rsidR="000F149C" w:rsidRPr="00D901B6">
        <w:t>.</w:t>
      </w:r>
      <w:r w:rsidR="004E7034">
        <w:t>0</w:t>
      </w:r>
      <w:r w:rsidR="00935D84">
        <w:t>2</w:t>
      </w:r>
      <w:r w:rsidR="000F149C" w:rsidRPr="00D901B6">
        <w:t>.20</w:t>
      </w:r>
      <w:r w:rsidR="00D901B6">
        <w:t>2</w:t>
      </w:r>
      <w:r w:rsidR="00935D84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lastRenderedPageBreak/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1054CE">
        <w:rPr>
          <w:bCs/>
        </w:rPr>
        <w:t>6</w:t>
      </w:r>
      <w:r w:rsidRPr="00DF4217">
        <w:rPr>
          <w:bCs/>
        </w:rPr>
        <w:t xml:space="preserve"> член</w:t>
      </w:r>
      <w:r w:rsidR="001054CE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19FC" w:rsidRDefault="00181B6C" w:rsidP="001054CE">
      <w:pPr>
        <w:spacing w:line="276" w:lineRule="auto"/>
        <w:ind w:firstLine="709"/>
        <w:jc w:val="both"/>
      </w:pPr>
      <w:bookmarkStart w:id="0" w:name="_GoBack"/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5630DF">
        <w:t>02</w:t>
      </w:r>
      <w:r w:rsidR="00610308">
        <w:t>.</w:t>
      </w:r>
      <w:r w:rsidR="005630DF">
        <w:t>03</w:t>
      </w:r>
      <w:r w:rsidR="00F06B83" w:rsidRPr="00302618">
        <w:t>.202</w:t>
      </w:r>
      <w:r w:rsidR="005630DF">
        <w:t>6</w:t>
      </w:r>
      <w:r w:rsidR="00F06B83" w:rsidRPr="00302618">
        <w:t xml:space="preserve"> года</w:t>
      </w:r>
    </w:p>
    <w:p w:rsidR="00F06B83" w:rsidRDefault="00C35791" w:rsidP="001054CE">
      <w:pPr>
        <w:spacing w:line="276" w:lineRule="auto"/>
        <w:jc w:val="both"/>
      </w:pPr>
      <w:r>
        <w:t>п</w:t>
      </w:r>
      <w:r w:rsidR="002819FC">
        <w:t xml:space="preserve">о </w:t>
      </w:r>
      <w:r w:rsidR="001054CE">
        <w:t>лоту</w:t>
      </w:r>
      <w:r w:rsidR="002819FC">
        <w:t xml:space="preserve"> </w:t>
      </w:r>
      <w:r>
        <w:t>1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bookmarkEnd w:id="0"/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1054CE">
        <w:t>у</w:t>
      </w:r>
      <w:r w:rsidR="00660341" w:rsidRPr="00302618">
        <w:t xml:space="preserve"> </w:t>
      </w:r>
      <w:r w:rsidR="00C35791">
        <w:t>1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95" w:rsidRDefault="00403E95" w:rsidP="004F1E30">
      <w:r>
        <w:separator/>
      </w:r>
    </w:p>
  </w:endnote>
  <w:endnote w:type="continuationSeparator" w:id="0">
    <w:p w:rsidR="00403E95" w:rsidRDefault="00403E95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E95" w:rsidRDefault="00403E95" w:rsidP="004F1E30">
      <w:r>
        <w:separator/>
      </w:r>
    </w:p>
  </w:footnote>
  <w:footnote w:type="continuationSeparator" w:id="0">
    <w:p w:rsidR="00403E95" w:rsidRDefault="00403E95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03E95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630DF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35D84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25C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EFA2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02EE-AAC1-4511-841C-9EDF9BB9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6</cp:revision>
  <cp:lastPrinted>2026-03-03T07:50:00Z</cp:lastPrinted>
  <dcterms:created xsi:type="dcterms:W3CDTF">2025-10-20T13:07:00Z</dcterms:created>
  <dcterms:modified xsi:type="dcterms:W3CDTF">2026-03-03T07:51:00Z</dcterms:modified>
</cp:coreProperties>
</file>